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Equity in School Athletic Programs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Under federal law, the overall benefits and treatment of athletic programs for girls and boys must be equitable. All interscholastic, club, or intramural athletics operated, sponsored, or provided by the school district must provide similar benefits, opportunities, and treatment to female and male 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Resources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240" w:lineRule="auto"/>
        <w:rPr>
          <w:color w:val="1155cc"/>
          <w:u w:val="single"/>
        </w:rPr>
      </w:pPr>
      <w:hyperlink r:id="rId6">
        <w:r w:rsidDel="00000000" w:rsidR="00000000" w:rsidRPr="00000000">
          <w:rPr>
            <w:color w:val="1155cc"/>
            <w:u w:val="single"/>
            <w:rtl w:val="0"/>
          </w:rPr>
          <w:t xml:space="preserve">Title IX Coordinator Resource Guide</w:t>
        </w:r>
      </w:hyperlink>
      <w:r w:rsidDel="00000000" w:rsidR="00000000" w:rsidRPr="00000000">
        <w:rPr>
          <w:rtl w:val="0"/>
        </w:rPr>
      </w:r>
    </w:p>
    <w:p w:rsidR="00000000" w:rsidDel="00000000" w:rsidP="00000000" w:rsidRDefault="00000000" w:rsidRPr="00000000" w14:paraId="00000008">
      <w:pPr>
        <w:spacing w:after="240" w:lineRule="auto"/>
        <w:rPr>
          <w:color w:val="1155cc"/>
          <w:u w:val="single"/>
        </w:rPr>
      </w:pPr>
      <w:hyperlink r:id="rId7">
        <w:r w:rsidDel="00000000" w:rsidR="00000000" w:rsidRPr="00000000">
          <w:rPr>
            <w:color w:val="1155cc"/>
            <w:u w:val="single"/>
            <w:rtl w:val="0"/>
          </w:rPr>
          <w:t xml:space="preserve">Clarification of Intercollegiate Athletics Policy Guidance: The Three-Part Test (1996)</w:t>
        </w:r>
      </w:hyperlink>
      <w:r w:rsidDel="00000000" w:rsidR="00000000" w:rsidRPr="00000000">
        <w:rPr>
          <w:rtl w:val="0"/>
        </w:rPr>
      </w:r>
    </w:p>
    <w:p w:rsidR="00000000" w:rsidDel="00000000" w:rsidP="00000000" w:rsidRDefault="00000000" w:rsidRPr="00000000" w14:paraId="00000009">
      <w:pPr>
        <w:spacing w:after="240" w:lineRule="auto"/>
        <w:rPr>
          <w:color w:val="1155cc"/>
          <w:u w:val="single"/>
        </w:rPr>
      </w:pPr>
      <w:hyperlink r:id="rId8">
        <w:r w:rsidDel="00000000" w:rsidR="00000000" w:rsidRPr="00000000">
          <w:rPr>
            <w:color w:val="1155cc"/>
            <w:u w:val="single"/>
            <w:rtl w:val="0"/>
          </w:rPr>
          <w:t xml:space="preserve">Intercollegiate Athletics Policy Clarification: The Three-Part Test - Part Three (2010)</w:t>
        </w:r>
      </w:hyperlink>
      <w:r w:rsidDel="00000000" w:rsidR="00000000" w:rsidRPr="00000000">
        <w:rPr>
          <w:rtl w:val="0"/>
        </w:rPr>
        <w:t xml:space="preserve"> |</w:t>
      </w:r>
      <w:hyperlink r:id="rId9">
        <w:r w:rsidDel="00000000" w:rsidR="00000000" w:rsidRPr="00000000">
          <w:rPr>
            <w:color w:val="1155cc"/>
            <w:u w:val="single"/>
            <w:rtl w:val="0"/>
          </w:rPr>
          <w:t xml:space="preserve"> Q's &amp; A's</w:t>
        </w:r>
      </w:hyperlink>
      <w:r w:rsidDel="00000000" w:rsidR="00000000" w:rsidRPr="00000000">
        <w:rPr>
          <w:rtl w:val="0"/>
        </w:rPr>
      </w:r>
    </w:p>
    <w:p w:rsidR="00000000" w:rsidDel="00000000" w:rsidP="00000000" w:rsidRDefault="00000000" w:rsidRPr="00000000" w14:paraId="0000000A">
      <w:pPr>
        <w:spacing w:after="240" w:lineRule="auto"/>
        <w:rPr>
          <w:color w:val="1155cc"/>
          <w:u w:val="single"/>
        </w:rPr>
      </w:pPr>
      <w:hyperlink r:id="rId10">
        <w:r w:rsidDel="00000000" w:rsidR="00000000" w:rsidRPr="00000000">
          <w:rPr>
            <w:color w:val="1155cc"/>
            <w:u w:val="single"/>
            <w:rtl w:val="0"/>
          </w:rPr>
          <w:t xml:space="preserve">Additional guidance regarding application of three-part test to interscholastic athletic programs (2008)</w:t>
        </w:r>
      </w:hyperlink>
      <w:r w:rsidDel="00000000" w:rsidR="00000000" w:rsidRPr="00000000">
        <w:rPr>
          <w:rtl w:val="0"/>
        </w:rPr>
      </w:r>
    </w:p>
    <w:p w:rsidR="00000000" w:rsidDel="00000000" w:rsidP="00000000" w:rsidRDefault="00000000" w:rsidRPr="00000000" w14:paraId="0000000B">
      <w:pPr>
        <w:spacing w:after="240" w:lineRule="auto"/>
        <w:rPr>
          <w:color w:val="1155cc"/>
          <w:u w:val="single"/>
        </w:rPr>
      </w:pPr>
      <w:hyperlink r:id="rId11">
        <w:r w:rsidDel="00000000" w:rsidR="00000000" w:rsidRPr="00000000">
          <w:rPr>
            <w:color w:val="1155cc"/>
            <w:u w:val="single"/>
            <w:rtl w:val="0"/>
          </w:rPr>
          <w:t xml:space="preserve">Athletic Activities Counted for Title IX Compliance (2008)</w:t>
        </w:r>
      </w:hyperlink>
      <w:r w:rsidDel="00000000" w:rsidR="00000000" w:rsidRPr="00000000">
        <w:rPr>
          <w:rtl w:val="0"/>
        </w:rPr>
      </w:r>
    </w:p>
    <w:p w:rsidR="00000000" w:rsidDel="00000000" w:rsidP="00000000" w:rsidRDefault="00000000" w:rsidRPr="00000000" w14:paraId="0000000C">
      <w:pPr>
        <w:spacing w:after="240" w:lineRule="auto"/>
        <w:rPr>
          <w:color w:val="1155cc"/>
          <w:u w:val="single"/>
        </w:rPr>
      </w:pPr>
      <w:hyperlink r:id="rId12">
        <w:r w:rsidDel="00000000" w:rsidR="00000000" w:rsidRPr="00000000">
          <w:rPr>
            <w:color w:val="1155cc"/>
            <w:u w:val="single"/>
            <w:rtl w:val="0"/>
          </w:rPr>
          <w:t xml:space="preserve">Students with Disabilities in Extracurricular Athletics</w:t>
        </w:r>
      </w:hyperlink>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2.ed.gov/about/offices/list/ocr/letters/colleague-20080917.pdf" TargetMode="External"/><Relationship Id="rId10" Type="http://schemas.openxmlformats.org/officeDocument/2006/relationships/hyperlink" Target="https://www2.ed.gov/about/offices/list/ocr/letters/title-ix-2008-0327.pdf" TargetMode="External"/><Relationship Id="rId12" Type="http://schemas.openxmlformats.org/officeDocument/2006/relationships/hyperlink" Target="https://www2.ed.gov/about/offices/list/ocr/letters/colleague-201301-504.pdf" TargetMode="External"/><Relationship Id="rId9" Type="http://schemas.openxmlformats.org/officeDocument/2006/relationships/hyperlink" Target="https://www2.ed.gov/about/offices/list/ocr/docs/title9-qa-20100420.html" TargetMode="External"/><Relationship Id="rId5" Type="http://schemas.openxmlformats.org/officeDocument/2006/relationships/styles" Target="styles.xml"/><Relationship Id="rId6" Type="http://schemas.openxmlformats.org/officeDocument/2006/relationships/hyperlink" Target="https://www2.ed.gov/policy/rights/guid/ocr/title-ix-coordinators.html" TargetMode="External"/><Relationship Id="rId7" Type="http://schemas.openxmlformats.org/officeDocument/2006/relationships/hyperlink" Target="https://www2.ed.gov/about/offices/list/ocr/docs/clarific.html#two" TargetMode="External"/><Relationship Id="rId8" Type="http://schemas.openxmlformats.org/officeDocument/2006/relationships/hyperlink" Target="https://www2.ed.gov/about/offices/list/ocr/letters/colleague-2010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